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28" w:rsidRDefault="004B6228" w:rsidP="004B622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Видача </w:t>
      </w:r>
      <w:r>
        <w:rPr>
          <w:b/>
          <w:sz w:val="28"/>
          <w:szCs w:val="28"/>
          <w:lang w:val="uk-UA"/>
        </w:rPr>
        <w:t xml:space="preserve">експлуатаційного дозволу для провадження діяльності: </w:t>
      </w:r>
    </w:p>
    <w:p w:rsidR="004B6228" w:rsidRDefault="004B6228" w:rsidP="004B622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потужностях (об'єктах) з переробки неїстівних продуктів тваринного походження; </w:t>
      </w:r>
    </w:p>
    <w:p w:rsidR="004B6228" w:rsidRDefault="004B6228" w:rsidP="004B622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потужностях (об'єктах) з виробництва, змішування та приготування кормових добавок, </w:t>
      </w:r>
      <w:proofErr w:type="spellStart"/>
      <w:r>
        <w:rPr>
          <w:b/>
          <w:sz w:val="28"/>
          <w:szCs w:val="28"/>
          <w:lang w:val="uk-UA"/>
        </w:rPr>
        <w:t>преміксів</w:t>
      </w:r>
      <w:proofErr w:type="spellEnd"/>
      <w:r>
        <w:rPr>
          <w:b/>
          <w:sz w:val="28"/>
          <w:szCs w:val="28"/>
          <w:lang w:val="uk-UA"/>
        </w:rPr>
        <w:t xml:space="preserve"> і кормів.</w:t>
      </w:r>
    </w:p>
    <w:p w:rsidR="004B6228" w:rsidRDefault="004B6228" w:rsidP="004B6228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>_______________________________________</w:t>
      </w:r>
    </w:p>
    <w:p w:rsidR="004B6228" w:rsidRDefault="004B6228" w:rsidP="004B6228">
      <w:pPr>
        <w:ind w:firstLine="567"/>
        <w:jc w:val="center"/>
        <w:rPr>
          <w:color w:val="000000"/>
          <w:sz w:val="16"/>
          <w:szCs w:val="16"/>
          <w:lang w:val="uk-UA"/>
        </w:rPr>
      </w:pPr>
      <w:r>
        <w:rPr>
          <w:caps/>
          <w:color w:val="000000"/>
          <w:sz w:val="16"/>
          <w:szCs w:val="16"/>
          <w:lang w:val="uk-UA"/>
        </w:rPr>
        <w:t>(</w:t>
      </w:r>
      <w:r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4B6228" w:rsidRDefault="004B6228" w:rsidP="004B6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4B6228" w:rsidRDefault="004B6228" w:rsidP="004B6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Головне управління </w:t>
      </w:r>
      <w:proofErr w:type="spellStart"/>
      <w:r>
        <w:rPr>
          <w:sz w:val="28"/>
          <w:szCs w:val="28"/>
          <w:lang w:val="uk-UA"/>
        </w:rPr>
        <w:t>Держпродспоживслужби</w:t>
      </w:r>
      <w:proofErr w:type="spellEnd"/>
      <w:r>
        <w:rPr>
          <w:sz w:val="28"/>
          <w:szCs w:val="28"/>
          <w:lang w:val="uk-UA"/>
        </w:rPr>
        <w:t xml:space="preserve"> в області, в місті Києві, </w:t>
      </w:r>
    </w:p>
    <w:p w:rsidR="004B6228" w:rsidRDefault="004B6228" w:rsidP="004B6228">
      <w:pPr>
        <w:ind w:firstLine="567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4B6228" w:rsidRDefault="004B6228" w:rsidP="004B6228">
      <w:pPr>
        <w:ind w:firstLine="567"/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4B6228" w:rsidRDefault="004B6228" w:rsidP="004B6228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832"/>
        <w:gridCol w:w="4922"/>
      </w:tblGrid>
      <w:tr w:rsidR="004B6228" w:rsidTr="004B6228">
        <w:trPr>
          <w:trHeight w:val="44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Реквізити розміщені в мережі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інтернет</w:t>
            </w:r>
            <w:proofErr w:type="spellEnd"/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28" w:rsidRDefault="004B62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Відповідно до правил внутрішнього трудового розпорядку.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веб-сайт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центру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Реквізити державного адміністратора.</w:t>
            </w:r>
          </w:p>
        </w:tc>
      </w:tr>
      <w:tr w:rsidR="004B6228" w:rsidTr="004B6228">
        <w:trPr>
          <w:trHeight w:val="455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28" w:rsidRDefault="004B6228">
            <w:pPr>
              <w:spacing w:before="60" w:after="6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Нормативні акти, якими регламентується надання 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адміністративної послуги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ветеринарну медицину», ст. 50 – 53.</w:t>
            </w:r>
          </w:p>
          <w:p w:rsidR="004B6228" w:rsidRDefault="004B622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Закон України «Про дозвільну систему у сфері господарської діяльності».</w:t>
            </w:r>
          </w:p>
          <w:p w:rsidR="004B6228" w:rsidRDefault="004B6228">
            <w:pPr>
              <w:spacing w:before="60" w:after="6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Закон України «Про Перелік </w:t>
            </w:r>
            <w:r>
              <w:rPr>
                <w:bCs/>
                <w:sz w:val="28"/>
                <w:szCs w:val="28"/>
                <w:lang w:val="uk-UA"/>
              </w:rPr>
              <w:lastRenderedPageBreak/>
              <w:t>документів дозвільного характеру у сфері господарської діяльності».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адміністративні послуги» ст. 8.</w:t>
            </w:r>
          </w:p>
        </w:tc>
      </w:tr>
      <w:tr w:rsidR="004B6228" w:rsidRP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Кабінету Міністрів України від 05.11.2008 № 978 «Про затвердження Порядку видачі експлуатаційного дозволу».</w:t>
            </w:r>
          </w:p>
          <w:p w:rsidR="004B6228" w:rsidRDefault="004B62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Держкомветмедицини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від 22.11.2010 № </w:t>
            </w:r>
            <w:r>
              <w:rPr>
                <w:bCs/>
                <w:sz w:val="28"/>
                <w:szCs w:val="28"/>
                <w:lang w:val="uk-UA"/>
              </w:rPr>
              <w:t>517 «</w:t>
            </w:r>
            <w:hyperlink r:id="rId4" w:tgtFrame="_blank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Про затвердження Порядку ведення реєстрів потужностей (об'єктів)</w:t>
              </w:r>
            </w:hyperlink>
            <w:r>
              <w:rPr>
                <w:sz w:val="28"/>
                <w:szCs w:val="28"/>
                <w:lang w:val="uk-UA"/>
              </w:rPr>
              <w:t xml:space="preserve">» Зареєстровано в Мін'юсті України від 17.12.2010 за № </w:t>
            </w:r>
            <w:r>
              <w:rPr>
                <w:bCs/>
                <w:sz w:val="28"/>
                <w:szCs w:val="28"/>
                <w:lang w:val="uk-UA"/>
              </w:rPr>
              <w:t>1291/18586.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4B6228" w:rsidTr="004B6228">
        <w:trPr>
          <w:trHeight w:val="47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jc w:val="both"/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Провадження діяльності: </w:t>
            </w:r>
          </w:p>
          <w:p w:rsidR="004B6228" w:rsidRDefault="004B6228">
            <w:pPr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на потужностях (об'єктах) з переробки неїстівних продуктів тваринного походження; 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lastRenderedPageBreak/>
              <w:t xml:space="preserve">на потужностях (об'єктах) з виробництва, змішування та приготування кормових добавок, </w:t>
            </w:r>
            <w:proofErr w:type="spellStart"/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преміксів</w:t>
            </w:r>
            <w:proofErr w:type="spellEnd"/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і кормів.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spacing w:before="60" w:after="60"/>
              <w:jc w:val="both"/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1. Заява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B6228" w:rsidRDefault="004B6228">
            <w:pPr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2. 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3. Можуть включатися проектні вимоги і вимоги щодо будівництва, наявності кваліфікованого персоналу, тривалості застосування системи контролю безпечності та якості.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Документи, подаються в одному примірнику особисто суб'єктом господарювання (керівником юридичної особи, фізичною особою-підприємцем, фізичною особою) або уповноваженою ним особою. 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можуть бути надіслані рекомендованим листом з описом вкладення, при цьому підпис заявника (фізичної особи-підприємця) та уповноваженої ним особи засвідчується нотаріально.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Безоплатно.</w:t>
            </w:r>
          </w:p>
        </w:tc>
      </w:tr>
      <w:tr w:rsidR="004B6228" w:rsidTr="004B6228">
        <w:trPr>
          <w:trHeight w:val="383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11.3.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більше ніж десять робочих днів.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1. </w:t>
            </w:r>
            <w:r>
              <w:rPr>
                <w:sz w:val="28"/>
                <w:szCs w:val="28"/>
                <w:lang w:val="uk-UA"/>
              </w:rPr>
              <w:t xml:space="preserve"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</w:p>
          <w:p w:rsidR="004B6228" w:rsidRDefault="004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 Виявлення в документах, поданих суб'єктом господарювання, недостовірних відомостей; 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 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Видача дозволу </w:t>
            </w:r>
            <w:r>
              <w:rPr>
                <w:sz w:val="28"/>
                <w:szCs w:val="28"/>
                <w:lang w:val="uk-UA"/>
              </w:rPr>
              <w:t xml:space="preserve">для провадження діяльності: </w:t>
            </w:r>
          </w:p>
          <w:p w:rsidR="004B6228" w:rsidRDefault="004B62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потужностях (об'єктах) з переробки неїстівних продуктів тваринного походження; 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потужностях (об'єктах) з виробництва, змішування та приготування кормових добавок, </w:t>
            </w:r>
            <w:proofErr w:type="spellStart"/>
            <w:r>
              <w:rPr>
                <w:sz w:val="28"/>
                <w:szCs w:val="28"/>
                <w:lang w:val="uk-UA"/>
              </w:rPr>
              <w:t>преміксів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кормів.</w:t>
            </w:r>
          </w:p>
        </w:tc>
      </w:tr>
      <w:tr w:rsidR="004B6228" w:rsidTr="004B622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Факт отримання документа дозвільного характеру засвідчується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особистим підписом керівника юридичної особи, фізичної особи-підприємця, фізичної або уповноваженої ним особи при пред'явленні документа, що засвідчує його особу.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Дозвіл на проведення заходу із залученням тварин надсилається поштою.</w:t>
            </w:r>
          </w:p>
        </w:tc>
      </w:tr>
      <w:tr w:rsidR="004B6228" w:rsidTr="004B62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28" w:rsidRDefault="004B622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Відмова у видачі, переоформлення, анулювання експлуатаційного дозволу здійснюються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:rsidR="004B6228" w:rsidRDefault="004B62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7D4010" w:rsidRDefault="007D4010"/>
    <w:sectPr w:rsidR="007D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228"/>
    <w:rsid w:val="004B6228"/>
    <w:rsid w:val="007D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6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1.rada.gov.ua/laws/show/z129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2018-01-20T12:29:00Z</dcterms:created>
  <dcterms:modified xsi:type="dcterms:W3CDTF">2018-01-20T12:29:00Z</dcterms:modified>
</cp:coreProperties>
</file>