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6FFA" w:rsidRPr="00926FFA" w:rsidRDefault="00926FFA" w:rsidP="00926FF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667A2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773F3E" w:rsidRDefault="00773F3E" w:rsidP="00926FFA">
      <w:pPr>
        <w:pStyle w:val="Style7"/>
        <w:widowControl/>
        <w:ind w:firstLine="709"/>
        <w:rPr>
          <w:rStyle w:val="FontStyle23"/>
          <w:rFonts w:eastAsia="Trebuchet MS"/>
          <w:b w:val="0"/>
          <w:position w:val="9"/>
          <w:sz w:val="25"/>
          <w:lang w:val="uk-UA"/>
        </w:rPr>
      </w:pPr>
    </w:p>
    <w:p w:rsidR="00926FFA" w:rsidRDefault="00926FFA" w:rsidP="00926FFA">
      <w:pPr>
        <w:pStyle w:val="Style7"/>
        <w:widowControl/>
        <w:ind w:firstLine="709"/>
        <w:rPr>
          <w:rStyle w:val="FontStyle23"/>
          <w:rFonts w:eastAsia="Trebuchet MS"/>
          <w:b w:val="0"/>
          <w:position w:val="9"/>
          <w:sz w:val="25"/>
          <w:lang w:val="uk-UA"/>
        </w:rPr>
      </w:pPr>
    </w:p>
    <w:p w:rsidR="00926FFA" w:rsidRDefault="00926FFA" w:rsidP="00926FFA">
      <w:pPr>
        <w:pStyle w:val="Style7"/>
        <w:widowControl/>
        <w:ind w:firstLine="709"/>
        <w:rPr>
          <w:rStyle w:val="FontStyle23"/>
          <w:rFonts w:eastAsia="Trebuchet MS"/>
          <w:b w:val="0"/>
          <w:position w:val="9"/>
          <w:sz w:val="25"/>
          <w:lang w:val="uk-UA"/>
        </w:rPr>
      </w:pPr>
    </w:p>
    <w:p w:rsidR="00773F3E" w:rsidRDefault="00773F3E">
      <w:pPr>
        <w:pStyle w:val="Style7"/>
        <w:widowControl/>
        <w:ind w:firstLine="709"/>
        <w:jc w:val="center"/>
        <w:rPr>
          <w:rStyle w:val="FontStyle23"/>
          <w:rFonts w:eastAsia="Trebuchet MS"/>
          <w:b w:val="0"/>
          <w:position w:val="9"/>
          <w:sz w:val="28"/>
          <w:lang w:val="uk-UA"/>
        </w:rPr>
      </w:pPr>
      <w:r>
        <w:rPr>
          <w:rStyle w:val="FontStyle23"/>
          <w:rFonts w:eastAsia="Trebuchet MS"/>
          <w:b w:val="0"/>
          <w:position w:val="9"/>
          <w:sz w:val="28"/>
          <w:lang w:val="uk-UA"/>
        </w:rPr>
        <w:t>ІНФОРМАЦІЙНИЙ ЛИСТ</w:t>
      </w:r>
    </w:p>
    <w:p w:rsidR="00773F3E" w:rsidRDefault="00773F3E">
      <w:pPr>
        <w:pStyle w:val="Style7"/>
        <w:widowControl/>
        <w:ind w:firstLine="709"/>
        <w:jc w:val="center"/>
        <w:rPr>
          <w:rStyle w:val="FontStyle23"/>
          <w:rFonts w:eastAsia="Trebuchet MS"/>
          <w:b w:val="0"/>
          <w:position w:val="9"/>
          <w:sz w:val="28"/>
          <w:lang w:val="uk-UA"/>
        </w:rPr>
      </w:pPr>
    </w:p>
    <w:p w:rsidR="00773F3E" w:rsidRPr="005B68D8" w:rsidRDefault="00773F3E">
      <w:pPr>
        <w:pStyle w:val="1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З метою належної та своєчасної підготовки теплових мереж, теплових пунктів та місцевих систем опалення, вентиляції та гарячого водопостачання (далі - ГВП) до роботи в опалювальний період 202</w:t>
      </w:r>
      <w:r w:rsidR="00E63B7F">
        <w:rPr>
          <w:sz w:val="28"/>
          <w:lang w:val="uk-UA"/>
        </w:rPr>
        <w:t>4</w:t>
      </w:r>
      <w:r>
        <w:rPr>
          <w:sz w:val="28"/>
          <w:lang w:val="uk-UA"/>
        </w:rPr>
        <w:t>/2</w:t>
      </w:r>
      <w:r w:rsidR="00E63B7F">
        <w:rPr>
          <w:sz w:val="28"/>
          <w:lang w:val="uk-UA"/>
        </w:rPr>
        <w:t>5</w:t>
      </w:r>
      <w:r>
        <w:rPr>
          <w:sz w:val="28"/>
          <w:lang w:val="uk-UA"/>
        </w:rPr>
        <w:t xml:space="preserve"> року, попередженню відмов у системах теплоспоживання під час проходження опалювального періоду, Держенергонагляд нагадує про необхідність виконання наступних заходів, згідно з вимогами Правил підготовки теплових господарств до опалювального періоду (далі – ППТГ</w:t>
      </w:r>
      <w:r w:rsidR="00E63B7F">
        <w:rPr>
          <w:sz w:val="28"/>
          <w:lang w:val="uk-UA"/>
        </w:rPr>
        <w:t xml:space="preserve"> </w:t>
      </w:r>
      <w:r>
        <w:rPr>
          <w:sz w:val="28"/>
          <w:lang w:val="uk-UA"/>
        </w:rPr>
        <w:t>до</w:t>
      </w:r>
      <w:r w:rsidR="00E63B7F">
        <w:rPr>
          <w:sz w:val="28"/>
          <w:lang w:val="uk-UA"/>
        </w:rPr>
        <w:t xml:space="preserve"> </w:t>
      </w:r>
      <w:r>
        <w:rPr>
          <w:sz w:val="28"/>
          <w:lang w:val="uk-UA"/>
        </w:rPr>
        <w:t>ОП), затверджених спільним наказом Міністерства палива та енергетики України і Міністерства з питань житлово-к</w:t>
      </w:r>
      <w:r w:rsidRPr="005B68D8">
        <w:rPr>
          <w:sz w:val="28"/>
          <w:lang w:val="uk-UA"/>
        </w:rPr>
        <w:t>омунального господарства України від 10.12.2008 р. № 620/378:</w:t>
      </w:r>
    </w:p>
    <w:p w:rsidR="00773F3E" w:rsidRPr="005B68D8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5B68D8">
        <w:rPr>
          <w:rFonts w:ascii="Times New Roman" w:eastAsia="Times New Roman" w:hAnsi="Times New Roman"/>
          <w:sz w:val="28"/>
          <w:lang w:val="uk-UA"/>
        </w:rPr>
        <w:t>затвердити розпорядчим документом плани організаційно-технічних заходів з підготовки теплових господарств, що знаходяться у власності або господарському віданні (за договором), до роботи в опалювальному періоді з призначенням  відповідальних осіб за їх виконання;</w:t>
      </w:r>
    </w:p>
    <w:p w:rsidR="00773F3E" w:rsidRPr="005B68D8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5B68D8">
        <w:rPr>
          <w:rFonts w:ascii="Times New Roman" w:eastAsia="Times New Roman" w:hAnsi="Times New Roman"/>
          <w:sz w:val="28"/>
          <w:lang w:val="uk-UA"/>
        </w:rPr>
        <w:t>уточнити приєднані теплові навантаження, виконати перерахунок гідравлічного режиму (за необхідності);</w:t>
      </w:r>
    </w:p>
    <w:p w:rsidR="00773F3E" w:rsidRPr="005B68D8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5B68D8">
        <w:rPr>
          <w:rFonts w:ascii="Times New Roman" w:eastAsia="Times New Roman" w:hAnsi="Times New Roman"/>
          <w:sz w:val="28"/>
          <w:lang w:val="uk-UA"/>
        </w:rPr>
        <w:t>забезпечити відповідність розмірів встановлених розрахункових лімітних звужувальних пристроїв, їх пломбування теплопостачальною організацією;</w:t>
      </w:r>
    </w:p>
    <w:p w:rsidR="00773F3E" w:rsidRPr="005B68D8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5B68D8">
        <w:rPr>
          <w:rFonts w:ascii="Times New Roman" w:eastAsia="Times New Roman" w:hAnsi="Times New Roman"/>
          <w:sz w:val="28"/>
          <w:lang w:val="uk-UA"/>
        </w:rPr>
        <w:t>провести ремонтні та профілактичні роботи на тепловикористальних установках, теплових мережах, системах теплоспоживання у необхідних обсягах;</w:t>
      </w:r>
    </w:p>
    <w:p w:rsidR="00773F3E" w:rsidRPr="005B68D8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5B68D8">
        <w:rPr>
          <w:rFonts w:ascii="Times New Roman" w:eastAsia="Times New Roman" w:hAnsi="Times New Roman"/>
          <w:sz w:val="28"/>
          <w:lang w:val="uk-UA"/>
        </w:rPr>
        <w:t>провести налагоджувальні роботи з усунення порушень, виявлених у теплових та гідравлічних режимах роботи систем теплоспоживання;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 w:rsidRPr="005B68D8">
        <w:rPr>
          <w:rFonts w:ascii="Times New Roman" w:eastAsia="Times New Roman" w:hAnsi="Times New Roman"/>
          <w:sz w:val="28"/>
          <w:lang w:val="uk-UA"/>
        </w:rPr>
        <w:t>виконати гідравлічні випробування теплових мереж, систем опалення та ГВП на щільність та міцність, провести їх</w:t>
      </w:r>
      <w:r>
        <w:rPr>
          <w:rFonts w:ascii="Times New Roman" w:eastAsia="Times New Roman" w:hAnsi="Times New Roman"/>
          <w:sz w:val="28"/>
          <w:lang w:val="uk-UA"/>
        </w:rPr>
        <w:t xml:space="preserve"> промивку;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виконати шурфування теплових мереж або застосувати інші методи контролю їх стану з метою з’ясування ступеню корозійного пошкодження трубопроводів;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відновити антикорозійне покриття та теплову ізоляцію на трубопроводах теплових мереж;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привести у справний технічний стан обладнання та засоби вимірювальної техніки вузлів керування, розташованих в теплових пунктах; 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укомплектувати відповідні підрозділи обслуговувальним персоналом, провести його навчання та перевірку знань, протиаварійні тренування персоналу щодо ліквідації відмов у системах теплоспоживання; 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укомплектувати теплові пункти та робочі місця обслуговувального персоналу технічною документацією; </w:t>
      </w:r>
    </w:p>
    <w:p w:rsidR="00773F3E" w:rsidRDefault="00773F3E">
      <w:pPr>
        <w:pStyle w:val="Style10"/>
        <w:widowControl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провести перевірку готовності теплових господарств до роботи в опалювальний період за участю представників Держенергонагляду у встановлені терміни, згідно вимог розділу Х ППТГ</w:t>
      </w:r>
      <w:r w:rsidR="00E63B7F"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до</w:t>
      </w:r>
      <w:r w:rsidR="00E63B7F">
        <w:rPr>
          <w:rFonts w:ascii="Times New Roman" w:eastAsia="Times New Roman" w:hAnsi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lang w:val="uk-UA"/>
        </w:rPr>
        <w:t>ОП.</w:t>
      </w:r>
    </w:p>
    <w:p w:rsidR="00A82FBB" w:rsidRDefault="00A82FBB">
      <w:pPr>
        <w:pStyle w:val="1"/>
        <w:tabs>
          <w:tab w:val="left" w:pos="993"/>
        </w:tabs>
        <w:ind w:firstLine="567"/>
        <w:jc w:val="both"/>
        <w:rPr>
          <w:sz w:val="28"/>
          <w:lang w:val="uk-UA"/>
        </w:rPr>
      </w:pPr>
    </w:p>
    <w:p w:rsidR="00A82FBB" w:rsidRDefault="00A82FBB">
      <w:pPr>
        <w:pStyle w:val="1"/>
        <w:tabs>
          <w:tab w:val="left" w:pos="993"/>
        </w:tabs>
        <w:ind w:firstLine="567"/>
        <w:jc w:val="both"/>
        <w:rPr>
          <w:sz w:val="28"/>
          <w:lang w:val="uk-UA"/>
        </w:rPr>
      </w:pPr>
    </w:p>
    <w:p w:rsidR="00773F3E" w:rsidRDefault="00773F3E">
      <w:pPr>
        <w:pStyle w:val="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>
        <w:rPr>
          <w:sz w:val="28"/>
          <w:lang w:val="uk-UA"/>
        </w:rPr>
        <w:lastRenderedPageBreak/>
        <w:t>Копію розроблених заходів та розпорядчого документ</w:t>
      </w:r>
      <w:r>
        <w:rPr>
          <w:sz w:val="28"/>
          <w:lang w:val="en-US"/>
        </w:rPr>
        <w:t>a</w:t>
      </w:r>
      <w:r>
        <w:rPr>
          <w:sz w:val="28"/>
          <w:lang w:val="uk-UA"/>
        </w:rPr>
        <w:t xml:space="preserve">, яким ці заходи вводяться в дію, надати до </w:t>
      </w:r>
      <w:r w:rsidR="009D11CD" w:rsidRPr="00D96AE8">
        <w:rPr>
          <w:sz w:val="28"/>
          <w:szCs w:val="25"/>
          <w:lang w:val="uk-UA"/>
        </w:rPr>
        <w:t>Управління Держенергонагляду у Черкаській</w:t>
      </w:r>
      <w:r w:rsidR="009D11CD">
        <w:rPr>
          <w:sz w:val="28"/>
          <w:lang w:val="uk-UA"/>
        </w:rPr>
        <w:t xml:space="preserve"> області </w:t>
      </w:r>
      <w:r>
        <w:rPr>
          <w:sz w:val="28"/>
          <w:lang w:val="uk-UA"/>
        </w:rPr>
        <w:t xml:space="preserve">у термін до </w:t>
      </w:r>
      <w:r w:rsidR="00E63B7F">
        <w:rPr>
          <w:sz w:val="28"/>
          <w:lang w:val="uk-UA"/>
        </w:rPr>
        <w:t>12</w:t>
      </w:r>
      <w:r>
        <w:rPr>
          <w:rStyle w:val="FontStyle26"/>
          <w:sz w:val="28"/>
        </w:rPr>
        <w:t>.0</w:t>
      </w:r>
      <w:r w:rsidR="00E63B7F">
        <w:rPr>
          <w:rStyle w:val="FontStyle26"/>
          <w:sz w:val="28"/>
          <w:lang w:val="uk-UA"/>
        </w:rPr>
        <w:t>8</w:t>
      </w:r>
      <w:r>
        <w:rPr>
          <w:rStyle w:val="FontStyle26"/>
          <w:sz w:val="28"/>
        </w:rPr>
        <w:t>.20</w:t>
      </w:r>
      <w:r>
        <w:rPr>
          <w:rStyle w:val="FontStyle26"/>
          <w:sz w:val="28"/>
          <w:lang w:val="uk-UA"/>
        </w:rPr>
        <w:t>2</w:t>
      </w:r>
      <w:r w:rsidR="00E63B7F">
        <w:rPr>
          <w:rStyle w:val="FontStyle26"/>
          <w:sz w:val="28"/>
          <w:lang w:val="uk-UA"/>
        </w:rPr>
        <w:t>4</w:t>
      </w:r>
      <w:r>
        <w:rPr>
          <w:rStyle w:val="FontStyle26"/>
          <w:sz w:val="28"/>
          <w:lang w:val="uk-UA"/>
        </w:rPr>
        <w:t>.</w:t>
      </w:r>
    </w:p>
    <w:p w:rsidR="00773F3E" w:rsidRDefault="00773F3E">
      <w:pPr>
        <w:pStyle w:val="1"/>
        <w:tabs>
          <w:tab w:val="left" w:pos="993"/>
        </w:tabs>
        <w:ind w:firstLine="567"/>
        <w:jc w:val="both"/>
        <w:rPr>
          <w:rStyle w:val="FontStyle26"/>
          <w:sz w:val="28"/>
          <w:lang w:val="uk-UA"/>
        </w:rPr>
      </w:pPr>
      <w:r>
        <w:rPr>
          <w:rStyle w:val="FontStyle26"/>
          <w:sz w:val="28"/>
          <w:lang w:val="uk-UA"/>
        </w:rPr>
        <w:t xml:space="preserve">Заздалегідь письмово повідомити </w:t>
      </w:r>
      <w:r w:rsidR="009D11CD" w:rsidRPr="00D96AE8">
        <w:rPr>
          <w:sz w:val="28"/>
          <w:szCs w:val="25"/>
          <w:lang w:val="uk-UA"/>
        </w:rPr>
        <w:t>Управління Держенергонагляду у Черкаській області</w:t>
      </w:r>
      <w:r w:rsidR="009D11CD">
        <w:rPr>
          <w:sz w:val="28"/>
          <w:lang w:val="uk-UA"/>
        </w:rPr>
        <w:t xml:space="preserve"> </w:t>
      </w:r>
      <w:r>
        <w:rPr>
          <w:sz w:val="28"/>
          <w:lang w:val="uk-UA"/>
        </w:rPr>
        <w:t>щодо термінів роботи комісії з визначення стану готовності підпорядкованих теплових господарств до роботи в опалювальний період з наданням розпорядчого документу щодо затвердження складу комісії.</w:t>
      </w:r>
    </w:p>
    <w:p w:rsidR="00773F3E" w:rsidRDefault="00773F3E">
      <w:pPr>
        <w:pStyle w:val="1"/>
        <w:tabs>
          <w:tab w:val="left" w:pos="993"/>
        </w:tabs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Крім того, рекомендуємо у разі потреби звернутися </w:t>
      </w:r>
      <w:r w:rsidR="00E80AD5">
        <w:rPr>
          <w:sz w:val="28"/>
          <w:lang w:val="uk-UA"/>
        </w:rPr>
        <w:t xml:space="preserve">до </w:t>
      </w:r>
      <w:r w:rsidR="009D11CD" w:rsidRPr="00D96AE8">
        <w:rPr>
          <w:sz w:val="28"/>
          <w:szCs w:val="25"/>
          <w:lang w:val="uk-UA"/>
        </w:rPr>
        <w:t>Управління Держенергонагляду у Черкаській області</w:t>
      </w:r>
      <w:r>
        <w:rPr>
          <w:sz w:val="28"/>
          <w:lang w:val="uk-UA"/>
        </w:rPr>
        <w:t xml:space="preserve"> стосовно залучення державних інспекторів до огляду (оцінки) технічного стану енергетичного устаткування з метою надання рекомендацій щодо визначення оптимальних обсягів ремонтних та профілактичних робіт.</w:t>
      </w:r>
    </w:p>
    <w:p w:rsidR="00773F3E" w:rsidRDefault="00773F3E">
      <w:pPr>
        <w:pStyle w:val="Style9"/>
        <w:widowControl/>
        <w:spacing w:line="240" w:lineRule="auto"/>
        <w:ind w:firstLine="709"/>
        <w:rPr>
          <w:sz w:val="28"/>
          <w:lang w:val="uk-UA"/>
        </w:rPr>
      </w:pPr>
    </w:p>
    <w:p w:rsidR="00E10399" w:rsidRDefault="00E10399">
      <w:pPr>
        <w:pStyle w:val="Style9"/>
        <w:widowControl/>
        <w:spacing w:line="240" w:lineRule="auto"/>
        <w:ind w:firstLine="709"/>
        <w:rPr>
          <w:sz w:val="28"/>
          <w:lang w:val="uk-UA"/>
        </w:rPr>
      </w:pPr>
    </w:p>
    <w:p w:rsidR="00E10399" w:rsidRPr="00E10399" w:rsidRDefault="00E10399">
      <w:pPr>
        <w:pStyle w:val="Style9"/>
        <w:widowControl/>
        <w:spacing w:line="240" w:lineRule="auto"/>
        <w:ind w:firstLine="709"/>
        <w:rPr>
          <w:sz w:val="28"/>
          <w:lang w:val="uk-UA"/>
        </w:rPr>
      </w:pPr>
    </w:p>
    <w:p w:rsidR="00E10399" w:rsidRDefault="00E10399">
      <w:pPr>
        <w:pStyle w:val="2"/>
        <w:shd w:val="clear" w:color="auto" w:fill="FFFFFF"/>
        <w:ind w:firstLine="709"/>
        <w:jc w:val="both"/>
        <w:rPr>
          <w:sz w:val="28"/>
          <w:lang w:val="uk-UA"/>
        </w:rPr>
      </w:pPr>
    </w:p>
    <w:sectPr w:rsidR="00E10399" w:rsidSect="009A372D">
      <w:headerReference w:type="default" r:id="rId8"/>
      <w:pgSz w:w="11906" w:h="16838"/>
      <w:pgMar w:top="719" w:right="707" w:bottom="567" w:left="1701" w:header="34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0B" w:rsidRDefault="00BA5C0B">
      <w:pPr>
        <w:pStyle w:val="2"/>
      </w:pPr>
    </w:p>
  </w:endnote>
  <w:endnote w:type="continuationSeparator" w:id="0">
    <w:p w:rsidR="00BA5C0B" w:rsidRDefault="00BA5C0B">
      <w:pPr>
        <w:pStyle w:val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0B" w:rsidRDefault="00BA5C0B">
      <w:pPr>
        <w:pStyle w:val="2"/>
      </w:pPr>
    </w:p>
  </w:footnote>
  <w:footnote w:type="continuationSeparator" w:id="0">
    <w:p w:rsidR="00BA5C0B" w:rsidRDefault="00BA5C0B">
      <w:pPr>
        <w:pStyle w:val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3E" w:rsidRDefault="00773F3E">
    <w:pPr>
      <w:pStyle w:val="10"/>
      <w:framePr w:wrap="auto" w:vAnchor="text" w:hAnchor="margin" w:xAlign="center" w:y="1"/>
    </w:pPr>
  </w:p>
  <w:p w:rsidR="00773F3E" w:rsidRDefault="00773F3E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04B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9CB0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CE5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DC9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48F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366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0C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67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BA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EA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B849A9"/>
    <w:multiLevelType w:val="multilevel"/>
    <w:tmpl w:val="001621CC"/>
    <w:lvl w:ilvl="0">
      <w:start w:val="4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1" w15:restartNumberingAfterBreak="0">
    <w:nsid w:val="277F6FA7"/>
    <w:multiLevelType w:val="multilevel"/>
    <w:tmpl w:val="03A5E5D1"/>
    <w:lvl w:ilvl="0">
      <w:start w:val="4"/>
      <w:numFmt w:val="bullet"/>
      <w:lvlText w:val="-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7A"/>
    <w:rsid w:val="00142806"/>
    <w:rsid w:val="001845BC"/>
    <w:rsid w:val="00245860"/>
    <w:rsid w:val="003C332F"/>
    <w:rsid w:val="0054130B"/>
    <w:rsid w:val="005B68D8"/>
    <w:rsid w:val="005D3C92"/>
    <w:rsid w:val="006923B7"/>
    <w:rsid w:val="00773F3E"/>
    <w:rsid w:val="00880352"/>
    <w:rsid w:val="008E35CA"/>
    <w:rsid w:val="00926FFA"/>
    <w:rsid w:val="009A372D"/>
    <w:rsid w:val="009D11CD"/>
    <w:rsid w:val="00A82FBB"/>
    <w:rsid w:val="00AE277A"/>
    <w:rsid w:val="00BA5C0B"/>
    <w:rsid w:val="00C63658"/>
    <w:rsid w:val="00C70B77"/>
    <w:rsid w:val="00E10399"/>
    <w:rsid w:val="00E63B7F"/>
    <w:rsid w:val="00E80658"/>
    <w:rsid w:val="00E80AD5"/>
    <w:rsid w:val="00F06B1D"/>
    <w:rsid w:val="00F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A2E916-6028-4CC7-9F16-F2655B2B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iPriority="9" w:unhideWhenUsed="1" w:qFormat="1"/>
    <w:lsdException w:name="annotation text" w:semiHidden="1" w:uiPriority="9" w:unhideWhenUsed="1" w:qFormat="1"/>
    <w:lsdException w:name="header" w:semiHidden="1" w:uiPriority="9" w:unhideWhenUsed="1" w:qFormat="1"/>
    <w:lsdException w:name="footer" w:semiHidden="1" w:uiPriority="9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iPriority="9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semiHidden="1" w:uiPriority="9" w:unhideWhenUsed="1" w:qFormat="1"/>
    <w:lsdException w:name="macro" w:semiHidden="1" w:uiPriority="9" w:unhideWhenUsed="1" w:qFormat="1"/>
    <w:lsdException w:name="toa heading" w:semiHidden="1" w:uiPriority="9" w:unhideWhenUsed="1" w:qFormat="1"/>
    <w:lsdException w:name="List" w:semiHidden="1" w:uiPriority="9" w:unhideWhenUsed="1" w:qFormat="1"/>
    <w:lsdException w:name="List Bullet" w:semiHidden="1" w:uiPriority="9" w:unhideWhenUsed="1" w:qFormat="1"/>
    <w:lsdException w:name="List Number" w:uiPriority="9" w:qFormat="1"/>
    <w:lsdException w:name="List 2" w:semiHidden="1" w:uiPriority="9" w:unhideWhenUsed="1" w:qFormat="1"/>
    <w:lsdException w:name="List 3" w:semiHidden="1" w:uiPriority="9" w:unhideWhenUsed="1" w:qFormat="1"/>
    <w:lsdException w:name="List 4" w:uiPriority="9" w:qFormat="1"/>
    <w:lsdException w:name="List 5" w:uiPriority="9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72D"/>
    <w:pPr>
      <w:pBdr>
        <w:top w:val="nil"/>
        <w:left w:val="nil"/>
        <w:bottom w:val="nil"/>
        <w:right w:val="nil"/>
        <w:between w:val="nil"/>
      </w:pBdr>
    </w:pPr>
    <w:rPr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qFormat/>
    <w:rsid w:val="009A372D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4"/>
      <w:lang w:val="ru-RU" w:eastAsia="ru-RU"/>
    </w:rPr>
  </w:style>
  <w:style w:type="paragraph" w:customStyle="1" w:styleId="1">
    <w:name w:val="Обычный1"/>
    <w:rsid w:val="009A372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2"/>
      <w:lang w:val="ru-RU" w:eastAsia="ru-RU"/>
    </w:rPr>
  </w:style>
  <w:style w:type="paragraph" w:customStyle="1" w:styleId="11">
    <w:name w:val="Обычный11"/>
    <w:rsid w:val="009A372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2"/>
      <w:lang w:val="ru-RU" w:eastAsia="ru-RU"/>
    </w:rPr>
  </w:style>
  <w:style w:type="paragraph" w:customStyle="1" w:styleId="Style6">
    <w:name w:val="Style6"/>
    <w:basedOn w:val="2"/>
    <w:rsid w:val="009A372D"/>
    <w:pPr>
      <w:widowControl w:val="0"/>
      <w:spacing w:line="360" w:lineRule="exact"/>
    </w:pPr>
    <w:rPr>
      <w:rFonts w:ascii="Trebuchet MS" w:eastAsia="Trebuchet MS" w:hAnsi="Trebuchet MS"/>
    </w:rPr>
  </w:style>
  <w:style w:type="paragraph" w:customStyle="1" w:styleId="Style7">
    <w:name w:val="Style7"/>
    <w:basedOn w:val="2"/>
    <w:rsid w:val="009A372D"/>
    <w:pPr>
      <w:widowControl w:val="0"/>
    </w:pPr>
    <w:rPr>
      <w:rFonts w:ascii="Trebuchet MS" w:eastAsia="Trebuchet MS" w:hAnsi="Trebuchet MS"/>
    </w:rPr>
  </w:style>
  <w:style w:type="paragraph" w:customStyle="1" w:styleId="Style8">
    <w:name w:val="Style8"/>
    <w:basedOn w:val="2"/>
    <w:rsid w:val="009A372D"/>
    <w:pPr>
      <w:widowControl w:val="0"/>
      <w:spacing w:line="468" w:lineRule="exact"/>
      <w:ind w:firstLine="870"/>
      <w:jc w:val="both"/>
    </w:pPr>
    <w:rPr>
      <w:rFonts w:ascii="Trebuchet MS" w:eastAsia="Trebuchet MS" w:hAnsi="Trebuchet MS"/>
    </w:rPr>
  </w:style>
  <w:style w:type="paragraph" w:customStyle="1" w:styleId="Style9">
    <w:name w:val="Style9"/>
    <w:basedOn w:val="2"/>
    <w:rsid w:val="009A372D"/>
    <w:pPr>
      <w:widowControl w:val="0"/>
      <w:spacing w:line="465" w:lineRule="exact"/>
      <w:ind w:firstLine="870"/>
      <w:jc w:val="both"/>
    </w:pPr>
    <w:rPr>
      <w:rFonts w:ascii="Trebuchet MS" w:eastAsia="Trebuchet MS" w:hAnsi="Trebuchet MS"/>
    </w:rPr>
  </w:style>
  <w:style w:type="paragraph" w:customStyle="1" w:styleId="Style10">
    <w:name w:val="Style10"/>
    <w:basedOn w:val="2"/>
    <w:rsid w:val="009A372D"/>
    <w:pPr>
      <w:widowControl w:val="0"/>
      <w:spacing w:line="480" w:lineRule="exact"/>
      <w:ind w:firstLine="885"/>
      <w:jc w:val="both"/>
    </w:pPr>
    <w:rPr>
      <w:rFonts w:ascii="Trebuchet MS" w:eastAsia="Trebuchet MS" w:hAnsi="Trebuchet MS"/>
    </w:rPr>
  </w:style>
  <w:style w:type="paragraph" w:customStyle="1" w:styleId="10">
    <w:name w:val="Верхний колонтитул1"/>
    <w:basedOn w:val="2"/>
    <w:rsid w:val="009A372D"/>
    <w:pPr>
      <w:tabs>
        <w:tab w:val="center" w:pos="4677"/>
        <w:tab w:val="right" w:pos="9355"/>
      </w:tabs>
    </w:pPr>
  </w:style>
  <w:style w:type="paragraph" w:styleId="a3">
    <w:name w:val="List Paragraph"/>
    <w:basedOn w:val="2"/>
    <w:qFormat/>
    <w:rsid w:val="009A372D"/>
    <w:pPr>
      <w:spacing w:after="200" w:line="276" w:lineRule="auto"/>
      <w:ind w:left="720"/>
    </w:pPr>
    <w:rPr>
      <w:sz w:val="28"/>
    </w:rPr>
  </w:style>
  <w:style w:type="paragraph" w:customStyle="1" w:styleId="12">
    <w:name w:val="Нижний колонтитул1"/>
    <w:basedOn w:val="2"/>
    <w:rsid w:val="009A372D"/>
    <w:pPr>
      <w:tabs>
        <w:tab w:val="center" w:pos="4677"/>
        <w:tab w:val="right" w:pos="9355"/>
      </w:tabs>
    </w:pPr>
  </w:style>
  <w:style w:type="paragraph" w:styleId="a4">
    <w:name w:val="Balloon Text"/>
    <w:basedOn w:val="2"/>
    <w:rsid w:val="009A372D"/>
    <w:rPr>
      <w:rFonts w:ascii="Segoe UI" w:eastAsia="Segoe UI" w:hAnsi="Segoe UI"/>
      <w:sz w:val="18"/>
    </w:rPr>
  </w:style>
  <w:style w:type="paragraph" w:styleId="HTML">
    <w:name w:val="HTML Preformatted"/>
    <w:basedOn w:val="2"/>
    <w:rsid w:val="009A3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</w:rPr>
  </w:style>
  <w:style w:type="paragraph" w:customStyle="1" w:styleId="13">
    <w:name w:val="Текст сноски1"/>
    <w:next w:val="a"/>
    <w:rsid w:val="009A372D"/>
    <w:pPr>
      <w:pBdr>
        <w:top w:val="nil"/>
        <w:left w:val="nil"/>
        <w:bottom w:val="nil"/>
        <w:right w:val="nil"/>
        <w:between w:val="nil"/>
      </w:pBdr>
    </w:pPr>
    <w:rPr>
      <w:lang w:val="ru-RU" w:eastAsia="ru-RU"/>
    </w:rPr>
  </w:style>
  <w:style w:type="paragraph" w:customStyle="1" w:styleId="14">
    <w:name w:val="Текст концевой сноски1"/>
    <w:next w:val="a"/>
    <w:rsid w:val="009A372D"/>
    <w:pPr>
      <w:pBdr>
        <w:top w:val="nil"/>
        <w:left w:val="nil"/>
        <w:bottom w:val="nil"/>
        <w:right w:val="nil"/>
        <w:between w:val="nil"/>
      </w:pBdr>
    </w:pPr>
    <w:rPr>
      <w:lang w:val="ru-RU" w:eastAsia="ru-RU"/>
    </w:rPr>
  </w:style>
  <w:style w:type="character" w:customStyle="1" w:styleId="15">
    <w:name w:val="Номер строки1"/>
    <w:rsid w:val="009A372D"/>
  </w:style>
  <w:style w:type="character" w:customStyle="1" w:styleId="16">
    <w:name w:val="Гиперссылка1"/>
    <w:rsid w:val="009A372D"/>
    <w:rPr>
      <w:color w:val="0000FF"/>
      <w:u w:val="single"/>
    </w:rPr>
  </w:style>
  <w:style w:type="character" w:customStyle="1" w:styleId="FontStyle23">
    <w:name w:val="Font Style23"/>
    <w:rsid w:val="009A372D"/>
    <w:rPr>
      <w:rFonts w:ascii="Times New Roman" w:eastAsia="Times New Roman" w:hAnsi="Times New Roman"/>
      <w:b/>
      <w:sz w:val="40"/>
    </w:rPr>
  </w:style>
  <w:style w:type="character" w:customStyle="1" w:styleId="FontStyle26">
    <w:name w:val="Font Style26"/>
    <w:rsid w:val="009A372D"/>
    <w:rPr>
      <w:rFonts w:ascii="Times New Roman" w:eastAsia="Times New Roman" w:hAnsi="Times New Roman"/>
      <w:sz w:val="38"/>
    </w:rPr>
  </w:style>
  <w:style w:type="character" w:customStyle="1" w:styleId="a5">
    <w:name w:val="Верхний колонтитул Знак"/>
    <w:rsid w:val="009A372D"/>
    <w:rPr>
      <w:rFonts w:ascii="Times New Roman" w:eastAsia="Times New Roman" w:hAnsi="Times New Roman"/>
      <w:sz w:val="24"/>
    </w:rPr>
  </w:style>
  <w:style w:type="character" w:customStyle="1" w:styleId="a6">
    <w:name w:val="Нижний колонтитул Знак"/>
    <w:rsid w:val="009A372D"/>
    <w:rPr>
      <w:rFonts w:ascii="Times New Roman" w:eastAsia="Times New Roman" w:hAnsi="Times New Roman"/>
      <w:sz w:val="24"/>
    </w:rPr>
  </w:style>
  <w:style w:type="character" w:customStyle="1" w:styleId="a7">
    <w:name w:val="Текст выноски Знак"/>
    <w:rsid w:val="009A372D"/>
    <w:rPr>
      <w:rFonts w:ascii="Segoe UI" w:eastAsia="Segoe UI" w:hAnsi="Segoe UI"/>
      <w:sz w:val="18"/>
      <w:lang w:val="ru-RU"/>
    </w:rPr>
  </w:style>
  <w:style w:type="character" w:customStyle="1" w:styleId="HTML0">
    <w:name w:val="Стандартный HTML Знак"/>
    <w:rsid w:val="009A372D"/>
    <w:rPr>
      <w:rFonts w:ascii="Courier New" w:eastAsia="Courier New" w:hAnsi="Courier New"/>
    </w:rPr>
  </w:style>
  <w:style w:type="character" w:customStyle="1" w:styleId="17">
    <w:name w:val="Знак сноски1"/>
    <w:rsid w:val="009A372D"/>
    <w:rPr>
      <w:vertAlign w:val="superscript"/>
    </w:rPr>
  </w:style>
  <w:style w:type="character" w:customStyle="1" w:styleId="FootnoteTextChar">
    <w:name w:val="Footnote Text Char"/>
    <w:rsid w:val="009A372D"/>
    <w:rPr>
      <w:sz w:val="20"/>
    </w:rPr>
  </w:style>
  <w:style w:type="character" w:customStyle="1" w:styleId="18">
    <w:name w:val="Знак концевой сноски1"/>
    <w:rsid w:val="009A372D"/>
    <w:rPr>
      <w:vertAlign w:val="superscript"/>
    </w:rPr>
  </w:style>
  <w:style w:type="character" w:customStyle="1" w:styleId="EndnoteTextChar">
    <w:name w:val="Endnote Text Char"/>
    <w:rsid w:val="009A372D"/>
    <w:rPr>
      <w:sz w:val="20"/>
    </w:rPr>
  </w:style>
  <w:style w:type="table" w:customStyle="1" w:styleId="19">
    <w:name w:val="Обычная таблица1"/>
    <w:rsid w:val="009A372D"/>
    <w:rPr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9"/>
    <w:rsid w:val="009A37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вичайний"/>
    <w:rsid w:val="009D11CD"/>
    <w:rPr>
      <w:rFonts w:ascii="Antiqua" w:eastAsia="Times New Roman" w:hAnsi="Antiqua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3DE9-986B-491B-BD2F-1F6B8A51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GDEN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Vihrusch_VB</dc:creator>
  <cp:lastModifiedBy>Tanya</cp:lastModifiedBy>
  <cp:revision>2</cp:revision>
  <cp:lastPrinted>2024-07-30T10:56:00Z</cp:lastPrinted>
  <dcterms:created xsi:type="dcterms:W3CDTF">2024-08-06T07:35:00Z</dcterms:created>
  <dcterms:modified xsi:type="dcterms:W3CDTF">2024-08-06T07:35:00Z</dcterms:modified>
</cp:coreProperties>
</file>